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header1.xml" ContentType="application/vnd.openxmlformats-officedocument.wordprocessingml.header+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sz w:val="16"/>
          <w:szCs w:val="16"/>
        </w:rPr>
      </w:pPr>
      <w:bookmarkStart w:id="0" w:name="_GoBack"/>
      <w:bookmarkStart w:id="1" w:name="_GoBack"/>
      <w:bookmarkEnd w:id="1"/>
      <w:r>
        <w:rPr>
          <w:b/>
          <w:sz w:val="16"/>
          <w:szCs w:val="16"/>
        </w:rPr>
      </w:r>
    </w:p>
    <w:p>
      <w:pPr>
        <w:pStyle w:val="Normal"/>
        <w:jc w:val="center"/>
        <w:rPr>
          <w:b/>
          <w:b/>
          <w:sz w:val="32"/>
          <w:szCs w:val="32"/>
        </w:rPr>
      </w:pPr>
      <w:r>
        <w:rPr>
          <w:b/>
          <w:sz w:val="32"/>
          <w:szCs w:val="32"/>
        </w:rPr>
        <w:t>A LA UNIDAD DE CARRETERAS DEL ESTADO EN ÁVILA DEL MINISTERIO DE FOMENTO</w:t>
      </w:r>
    </w:p>
    <w:p>
      <w:pPr>
        <w:pStyle w:val="Normal"/>
        <w:spacing w:before="120" w:after="200"/>
        <w:jc w:val="center"/>
        <w:rPr>
          <w:b/>
          <w:b/>
          <w:sz w:val="28"/>
          <w:szCs w:val="28"/>
        </w:rPr>
      </w:pPr>
      <w:r>
        <w:rPr>
          <w:b/>
          <w:sz w:val="28"/>
          <w:szCs w:val="28"/>
        </w:rPr>
        <w:t>Paseo de San Roque, 34. 05071 ÁVILA</w:t>
      </w:r>
    </w:p>
    <w:p>
      <w:pPr>
        <w:pStyle w:val="Normal"/>
        <w:spacing w:before="0" w:after="0"/>
        <w:jc w:val="center"/>
        <w:rPr>
          <w:b/>
          <w:b/>
          <w:sz w:val="28"/>
          <w:szCs w:val="28"/>
        </w:rPr>
      </w:pPr>
      <w:r>
        <w:rPr>
          <w:b/>
          <w:sz w:val="28"/>
          <w:szCs w:val="28"/>
        </w:rPr>
      </w:r>
    </w:p>
    <w:p>
      <w:pPr>
        <w:pStyle w:val="Normal"/>
        <w:ind w:left="-170" w:right="-227" w:hanging="0"/>
        <w:jc w:val="both"/>
        <w:rPr>
          <w:i/>
          <w:i/>
        </w:rPr>
      </w:pPr>
      <w:r>
        <w:rPr>
          <w:b/>
          <w:i/>
        </w:rPr>
        <w:t>Asunto</w:t>
      </w:r>
      <w:r>
        <w:rPr>
          <w:i/>
        </w:rPr>
        <w:t xml:space="preserve">: </w:t>
      </w:r>
      <w:r>
        <w:rPr/>
        <w:t>Anuncio de la Demarcación de Carreteras del Estado en Castilla y León Oriental sobre sometimiento a Información Pública del estudio informativo (así como el Estudio de Impacto Ambiental contenido en el mismo) de: "Autovía entre Ávila (A-50) y la Autovía del Noroeste (A-6)". Provincia de Ávila. Clave: EI1-AV-08</w:t>
      </w:r>
    </w:p>
    <w:p>
      <w:pPr>
        <w:pStyle w:val="Normal"/>
        <w:ind w:right="-710" w:hanging="0"/>
        <w:jc w:val="both"/>
        <w:rPr>
          <w:rFonts w:cs="Arial"/>
        </w:rPr>
      </w:pPr>
      <w:r>
        <w:rPr>
          <w:rFonts w:cs="Arial"/>
        </w:rPr>
        <w:t>D/ Dña……………………………… con DNI………………………… y con domicilio a efectos de notificaciones en …………………………………de ………………….. (Código Postal ………..), en tiempo y forma presenta las siguientes</w:t>
      </w:r>
    </w:p>
    <w:p>
      <w:pPr>
        <w:pStyle w:val="Normal"/>
        <w:spacing w:before="0" w:after="0"/>
        <w:ind w:right="-710" w:firstLine="709"/>
        <w:jc w:val="both"/>
        <w:rPr>
          <w:rFonts w:ascii="Arial" w:hAnsi="Arial" w:cs="Arial"/>
        </w:rPr>
      </w:pPr>
      <w:r>
        <w:rPr>
          <w:rFonts w:cs="Arial" w:ascii="Arial" w:hAnsi="Arial"/>
        </w:rPr>
      </w:r>
    </w:p>
    <w:p>
      <w:pPr>
        <w:pStyle w:val="Normal"/>
        <w:spacing w:before="0" w:after="0"/>
        <w:ind w:right="-710" w:firstLine="709"/>
        <w:jc w:val="center"/>
        <w:rPr>
          <w:rFonts w:ascii="Arial" w:hAnsi="Arial" w:cs="Arial"/>
          <w:b/>
          <w:b/>
        </w:rPr>
      </w:pPr>
      <w:r>
        <w:rPr>
          <w:rFonts w:cs="Arial" w:ascii="Arial" w:hAnsi="Arial"/>
          <w:b/>
        </w:rPr>
        <w:t>ALEGACIONES</w:t>
      </w:r>
    </w:p>
    <w:p>
      <w:pPr>
        <w:pStyle w:val="Normal"/>
        <w:ind w:left="-170" w:right="-227" w:hanging="0"/>
        <w:jc w:val="both"/>
        <w:rPr>
          <w:i/>
          <w:i/>
        </w:rPr>
      </w:pPr>
      <w:r>
        <w:rPr>
          <w:i/>
        </w:rPr>
      </w:r>
    </w:p>
    <w:p>
      <w:pPr>
        <w:pStyle w:val="Normal"/>
        <w:ind w:right="-710" w:firstLine="709"/>
        <w:jc w:val="both"/>
        <w:rPr>
          <w:rFonts w:cs="Arial"/>
          <w:b/>
          <w:b/>
          <w:sz w:val="21"/>
          <w:szCs w:val="21"/>
          <w:u w:val="single"/>
        </w:rPr>
      </w:pPr>
      <w:r>
        <w:rPr>
          <w:rFonts w:cs="Arial"/>
          <w:b/>
          <w:sz w:val="21"/>
          <w:szCs w:val="21"/>
          <w:u w:val="single"/>
        </w:rPr>
        <w:t xml:space="preserve">Primera.- </w:t>
      </w:r>
    </w:p>
    <w:p>
      <w:pPr>
        <w:pStyle w:val="Normal"/>
        <w:ind w:right="-710" w:hanging="0"/>
        <w:jc w:val="both"/>
        <w:rPr>
          <w:rFonts w:cs="Arial"/>
          <w:sz w:val="21"/>
          <w:szCs w:val="21"/>
        </w:rPr>
      </w:pPr>
      <w:r>
        <w:rPr>
          <w:rFonts w:cs="Arial"/>
          <w:sz w:val="21"/>
          <w:szCs w:val="21"/>
        </w:rPr>
        <w:t>Dentro de los principios rectores de la política social y económica, la Constitución Española establece en su artículo 45 el derecho y el deber de conservar el medio ambiente. La doble vertiente de este principio se constituye no sólo en un derecho que ha de ser preservado, sino también en una obligación que cualquier administración pública y ciudadano tiene que poner en práctica.</w:t>
      </w:r>
    </w:p>
    <w:p>
      <w:pPr>
        <w:pStyle w:val="Normal"/>
        <w:ind w:right="-710" w:firstLine="709"/>
        <w:jc w:val="both"/>
        <w:rPr>
          <w:rFonts w:cs="Arial"/>
          <w:b/>
          <w:b/>
          <w:sz w:val="21"/>
          <w:szCs w:val="21"/>
          <w:u w:val="single"/>
        </w:rPr>
      </w:pPr>
      <w:r>
        <w:rPr>
          <w:rFonts w:cs="Arial"/>
          <w:b/>
          <w:sz w:val="21"/>
          <w:szCs w:val="21"/>
          <w:u w:val="single"/>
        </w:rPr>
        <w:t xml:space="preserve">Segunda.- </w:t>
      </w:r>
    </w:p>
    <w:p>
      <w:pPr>
        <w:pStyle w:val="Normal"/>
        <w:ind w:right="-710" w:hanging="0"/>
        <w:jc w:val="both"/>
        <w:rPr>
          <w:rFonts w:cs="Arial"/>
          <w:sz w:val="21"/>
          <w:szCs w:val="21"/>
        </w:rPr>
      </w:pPr>
      <w:r>
        <w:rPr>
          <w:rFonts w:cs="Arial"/>
          <w:sz w:val="21"/>
          <w:szCs w:val="21"/>
        </w:rPr>
        <w:t>Se trata de un proyecto que se viene estudiando, olvidando, eliminando y resucitando desde el año 2005 a través, primero, de la Dirección General de Carreteras e Infraestructuras de la Consejería de Fomento de la Junta de Castilla y León, que emite con fecha 8 de febrero de 2005 Orden para la redacción del “Estudio Informativo de Alternativas para Autovía, de Ávila a la A-6”, con el objetivo de analizar las posibles alternativas para una autovía de nuevo trazado entre Ávila y la Autovía del Noroeste (A-6).</w:t>
      </w:r>
    </w:p>
    <w:p>
      <w:pPr>
        <w:pStyle w:val="Normal"/>
        <w:ind w:right="-710" w:hanging="0"/>
        <w:jc w:val="both"/>
        <w:rPr>
          <w:rFonts w:cs="Arial"/>
          <w:sz w:val="21"/>
          <w:szCs w:val="21"/>
        </w:rPr>
      </w:pPr>
      <w:r>
        <w:rPr>
          <w:rFonts w:cs="Arial"/>
          <w:sz w:val="21"/>
          <w:szCs w:val="21"/>
        </w:rPr>
        <w:t>En octubre de 2006 se produce el primer proceso de Información Pública del Estudio Informativo para las distintas variantes que se barajaban. Y en diciembre de ese mismo año se remite al Ministerio de Fomento por la parte que le correspondía: su conexión a la A-6.</w:t>
      </w:r>
    </w:p>
    <w:p>
      <w:pPr>
        <w:pStyle w:val="Normal"/>
        <w:ind w:right="-710" w:hanging="0"/>
        <w:jc w:val="both"/>
        <w:rPr>
          <w:rFonts w:cs="Arial"/>
          <w:sz w:val="21"/>
          <w:szCs w:val="21"/>
        </w:rPr>
      </w:pPr>
      <w:r>
        <w:rPr>
          <w:rFonts w:cs="Arial"/>
          <w:sz w:val="21"/>
          <w:szCs w:val="21"/>
        </w:rPr>
        <w:t>Durante nueve años el proyecto parece que queda en el olvido, hasta que, en Julio de 2015, tiene entrada en la Subdirección General de Estudios y Proyectos, un informe elaborado por la Demarcación de Carreteras del Estado en Castilla y León Oriental en el que, por el tiempo transcurrido, se solicitaba la aprobación de una nueva Orden de un nuevo Estudio Informativo redactado, ahora, por el Ministerio de Fomento, sometiéndolo a un nuevo procedimiento de Información Pública y a Evaluación de Impacto Ambiental.</w:t>
      </w:r>
    </w:p>
    <w:p>
      <w:pPr>
        <w:pStyle w:val="Normal"/>
        <w:ind w:right="-710" w:hanging="0"/>
        <w:jc w:val="both"/>
        <w:rPr>
          <w:rFonts w:cs="Arial"/>
          <w:sz w:val="21"/>
          <w:szCs w:val="21"/>
        </w:rPr>
      </w:pPr>
      <w:r>
        <w:rPr>
          <w:rFonts w:cs="Arial"/>
          <w:sz w:val="21"/>
          <w:szCs w:val="21"/>
        </w:rPr>
        <w:t xml:space="preserve">Es decir, en un periodo de diez años se producen dos Estudios Informativos con sus Evaluaciones de Impacto Ambiental correspondientes para el mismo proyecto, lo que implica </w:t>
      </w:r>
      <w:r>
        <w:rPr>
          <w:rFonts w:cs="Arial"/>
          <w:b/>
          <w:sz w:val="21"/>
          <w:szCs w:val="21"/>
        </w:rPr>
        <w:t>que el gasto también se multiplica por dos</w:t>
      </w:r>
      <w:r>
        <w:rPr>
          <w:rFonts w:cs="Arial"/>
          <w:sz w:val="21"/>
          <w:szCs w:val="21"/>
        </w:rPr>
        <w:t>, algo impensable en cualquier Estado medianamente democrático, es más, ante esta tesitura agradeceríamos saber ¿quien ha realizado sendos estudios y cuál ha sido el importe de los mismos?</w:t>
      </w:r>
    </w:p>
    <w:p>
      <w:pPr>
        <w:pStyle w:val="Normal"/>
        <w:ind w:right="-710" w:hanging="0"/>
        <w:jc w:val="both"/>
        <w:rPr>
          <w:rFonts w:cs="Arial"/>
          <w:sz w:val="21"/>
          <w:szCs w:val="21"/>
        </w:rPr>
      </w:pPr>
      <w:r>
        <w:rPr>
          <w:rFonts w:cs="Arial"/>
          <w:sz w:val="21"/>
          <w:szCs w:val="21"/>
        </w:rPr>
        <w:t>Después del periodo de alegaciones y las quejas procedentes de todo tipo de sectores y colectivos, parecía que el proyecto iba a quedar nuevamente en el olvido, pero de nuevo el Ministerio de Fomento, lo resucita mediante este anuncio, y somete la variante 5, que es finalmente la elegida, a un nuevo proceso de Información Pública.</w:t>
      </w:r>
    </w:p>
    <w:p>
      <w:pPr>
        <w:pStyle w:val="Normal"/>
        <w:ind w:right="-710" w:firstLine="709"/>
        <w:jc w:val="both"/>
        <w:rPr>
          <w:rFonts w:cs="Arial"/>
          <w:b/>
          <w:b/>
          <w:sz w:val="21"/>
          <w:szCs w:val="21"/>
          <w:u w:val="single"/>
        </w:rPr>
      </w:pPr>
      <w:r>
        <w:rPr>
          <w:rFonts w:cs="Arial"/>
          <w:b/>
          <w:sz w:val="21"/>
          <w:szCs w:val="21"/>
          <w:u w:val="single"/>
        </w:rPr>
        <w:t xml:space="preserve">Tercera.- </w:t>
      </w:r>
    </w:p>
    <w:p>
      <w:pPr>
        <w:pStyle w:val="Normal"/>
        <w:ind w:right="-710" w:hanging="0"/>
        <w:jc w:val="both"/>
        <w:rPr>
          <w:rFonts w:cs="Arial"/>
          <w:b/>
          <w:b/>
          <w:sz w:val="21"/>
          <w:szCs w:val="21"/>
        </w:rPr>
      </w:pPr>
      <w:r>
        <w:rPr>
          <w:rFonts w:cs="Arial"/>
          <w:b/>
          <w:sz w:val="21"/>
          <w:szCs w:val="21"/>
        </w:rPr>
        <w:t xml:space="preserve">Con los datos facilitados por el propio Ministerio de Fomento no tiene justificación ninguna la infraestructura propuesta, pues el volumen de tráfico no es, ni mucho menos, como para que deba acometerse un proyecto de semejante magnitud y ello sin contar el coste económico, ambiental y social. Más aún si se tiene en cuenta que a partir de los datos de la tabla que adjuntamos, </w:t>
      </w:r>
      <w:r>
        <w:rPr>
          <w:b/>
          <w:sz w:val="21"/>
          <w:szCs w:val="21"/>
        </w:rPr>
        <w:t>la intensidad de tráfico medio diario (IMD)</w:t>
      </w:r>
      <w:r>
        <w:rPr>
          <w:rFonts w:cs="Arial"/>
          <w:b/>
          <w:sz w:val="21"/>
          <w:szCs w:val="21"/>
        </w:rPr>
        <w:t xml:space="preserve"> de vehículos que atraviesa la vía en el punto de aforo existente ha disminuido en casi 1000 vehículos día desde el año 2007 a 2017, y no lo decimos nosotros o los propios datos, también </w:t>
      </w:r>
      <w:r>
        <w:rPr>
          <w:sz w:val="21"/>
          <w:szCs w:val="21"/>
        </w:rPr>
        <w:t>se reconoce en la memoria que fue expuesta para la autovía A-40 donde con más de 1.500 vehículos más al día ya se exponía lo siguiente:</w:t>
      </w:r>
    </w:p>
    <w:p>
      <w:pPr>
        <w:pStyle w:val="Normal"/>
        <w:numPr>
          <w:ilvl w:val="0"/>
          <w:numId w:val="1"/>
        </w:numPr>
        <w:ind w:left="720" w:right="-710" w:hanging="360"/>
        <w:jc w:val="both"/>
        <w:rPr>
          <w:b/>
          <w:b/>
          <w:sz w:val="21"/>
          <w:szCs w:val="21"/>
        </w:rPr>
      </w:pPr>
      <w:r>
        <w:rPr>
          <w:b/>
          <w:sz w:val="21"/>
          <w:szCs w:val="21"/>
        </w:rPr>
        <w:t xml:space="preserve"> “</w:t>
      </w:r>
      <w:r>
        <w:rPr>
          <w:b/>
          <w:sz w:val="21"/>
          <w:szCs w:val="21"/>
        </w:rPr>
        <w:t>la evolución del tráfico es los últimos años ha sido negativa, no sólo en la N-403, sino en la práctica totalidad de las vías con cierta influencia en el Corredor. Esta situación implica una mayor incertidumbre a la hora de lanzar previsiones de crecimiento a futuro”.</w:t>
      </w:r>
    </w:p>
    <w:p>
      <w:pPr>
        <w:pStyle w:val="Normal"/>
        <w:numPr>
          <w:ilvl w:val="0"/>
          <w:numId w:val="1"/>
        </w:numPr>
        <w:ind w:left="720" w:right="-710" w:hanging="360"/>
        <w:jc w:val="both"/>
        <w:rPr>
          <w:sz w:val="21"/>
          <w:szCs w:val="21"/>
        </w:rPr>
      </w:pPr>
      <w:r>
        <w:rPr>
          <w:sz w:val="21"/>
          <w:szCs w:val="21"/>
        </w:rPr>
        <w:t>“</w:t>
      </w:r>
      <w:r>
        <w:rPr>
          <w:sz w:val="21"/>
          <w:szCs w:val="21"/>
        </w:rPr>
        <w:t>no será necesaria la ampliación de plataforma para un carril adicional ni por condiciones de capacidad, ni por la existencia de rampas y pendientes”.</w:t>
      </w:r>
    </w:p>
    <w:p>
      <w:pPr>
        <w:pStyle w:val="Normal"/>
        <w:ind w:right="-710" w:hanging="0"/>
        <w:jc w:val="both"/>
        <w:rPr>
          <w:sz w:val="21"/>
          <w:szCs w:val="21"/>
        </w:rPr>
      </w:pPr>
      <w:r>
        <w:rPr/>
        <w:drawing>
          <wp:inline distT="0" distB="0" distL="0" distR="0">
            <wp:extent cx="5939155" cy="2823210"/>
            <wp:effectExtent l="0" t="0" r="0" b="0"/>
            <wp:docPr id="1"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
                    <pic:cNvPicPr>
                      <a:picLocks noChangeAspect="1" noChangeArrowheads="1"/>
                    </pic:cNvPicPr>
                  </pic:nvPicPr>
                  <pic:blipFill>
                    <a:blip r:embed="rId2"/>
                    <a:stretch>
                      <a:fillRect/>
                    </a:stretch>
                  </pic:blipFill>
                  <pic:spPr bwMode="auto">
                    <a:xfrm>
                      <a:off x="0" y="0"/>
                      <a:ext cx="5939155" cy="2823210"/>
                    </a:xfrm>
                    <a:prstGeom prst="rect">
                      <a:avLst/>
                    </a:prstGeom>
                  </pic:spPr>
                </pic:pic>
              </a:graphicData>
            </a:graphic>
          </wp:inline>
        </w:drawing>
      </w:r>
    </w:p>
    <w:p>
      <w:pPr>
        <w:pStyle w:val="Normal"/>
        <w:ind w:right="-710" w:hanging="0"/>
        <w:jc w:val="both"/>
        <w:rPr>
          <w:rFonts w:cs="Arial"/>
          <w:sz w:val="21"/>
          <w:szCs w:val="21"/>
        </w:rPr>
      </w:pPr>
      <w:r>
        <w:rPr>
          <w:rFonts w:cs="Arial"/>
          <w:sz w:val="21"/>
          <w:szCs w:val="21"/>
        </w:rPr>
        <w:t>Es más, hay que señalar que el punto de aforo elegido se sitúa encima en un espacio de cruce con otra infraestructura viaria de cierta importancia a nivel provincial como es la CL-507, lo que presumiblemente, puede hacer aumentar el tránsito de vehículos en este punto.</w:t>
      </w:r>
    </w:p>
    <w:p>
      <w:pPr>
        <w:pStyle w:val="Normal"/>
        <w:ind w:right="-710" w:hanging="0"/>
        <w:jc w:val="both"/>
        <w:rPr>
          <w:sz w:val="21"/>
          <w:szCs w:val="21"/>
        </w:rPr>
      </w:pPr>
      <w:r>
        <w:rPr>
          <w:sz w:val="21"/>
          <w:szCs w:val="21"/>
        </w:rPr>
        <w:t xml:space="preserve">Básicamente se presenta el tráfico para justificar que esta innecesaria (como hemos demostrado) autovía ha de servir para descongestionar el flujo de vehículos de la Comunidad de Madrid, dejando a su paso tan solo más contaminación. Los datos hipotéticos de tráfico futuro, son precísamante eso, hipótesis en donde se pretenden incorporar a toda costa potenciales nuevos viajeros de municipios situados en un radio de 50 km de la infraestructura propuesta, más el de otras vías de alta capacidad más lejanas, como si actualmente un viajero si lo necesitase no utilizase la actual N-403. En otras nuevas autovías la realidad ha servido para demostrar que siguen siendo vías de escaso tránsito, lo que supone un despilfarro de los recursos públicos, algo que también hemos podido observar en nuestros aeropuertos sin aviones, tan comunes en España. Es por ello, que la obra nueva del Ministerio de Fomento es una de las mayores fuentes de sobrecoste existentes. Pensamos, por tanto, que no son necesarios sesudos modelos para intentar justificar los datos objetivos de estos últimos años que se han mostrado, ni aquellos futuribles subjetivos que pueden no ajustarse a lo que pueda suceder realmente. En cualquier caso, vistas las proyecciones demográficas existentes, nos encontramos con otro parámetro que debería desaconsejar la autovía propuesta, pues para mantener y ganar población los municipios rurales necesitan otro tipo de políticas y de inversiones en infraestructuras sociales, educativas y ambientalmente sostenibles, </w:t>
      </w:r>
      <w:r>
        <w:rPr>
          <w:b/>
          <w:sz w:val="21"/>
          <w:szCs w:val="21"/>
        </w:rPr>
        <w:t>aplicando y dotando de fondos a la Ley 45/2007, de 13 de diciembre, para el desarrollo sostenible del medio rural.</w:t>
      </w:r>
    </w:p>
    <w:p>
      <w:pPr>
        <w:pStyle w:val="Normal"/>
        <w:ind w:right="-710" w:firstLine="709"/>
        <w:jc w:val="both"/>
        <w:rPr>
          <w:rFonts w:cs="Arial"/>
          <w:b/>
          <w:b/>
          <w:sz w:val="21"/>
          <w:szCs w:val="21"/>
          <w:u w:val="single"/>
        </w:rPr>
      </w:pPr>
      <w:r>
        <w:rPr>
          <w:rFonts w:cs="Arial"/>
          <w:b/>
          <w:sz w:val="21"/>
          <w:szCs w:val="21"/>
          <w:u w:val="single"/>
        </w:rPr>
        <w:t xml:space="preserve">Cuarta.- </w:t>
      </w:r>
    </w:p>
    <w:p>
      <w:pPr>
        <w:pStyle w:val="Normal"/>
        <w:ind w:right="-710" w:hanging="0"/>
        <w:jc w:val="both"/>
        <w:rPr>
          <w:sz w:val="21"/>
          <w:szCs w:val="21"/>
        </w:rPr>
      </w:pPr>
      <w:r>
        <w:rPr>
          <w:sz w:val="21"/>
          <w:szCs w:val="21"/>
        </w:rPr>
        <w:t>La fragmentación del territorio que produce una autovía es patente. Allí por donde pasa una vía de estas características el territorio queda partido en dos, ya que la infraestructura va cercada por alambrada en la totalidad de su recorrido, produciendo una barrera infranqueable entre ambos territorios.</w:t>
      </w:r>
    </w:p>
    <w:p>
      <w:pPr>
        <w:pStyle w:val="Normal"/>
        <w:ind w:right="-710" w:hanging="0"/>
        <w:jc w:val="both"/>
        <w:rPr>
          <w:sz w:val="21"/>
          <w:szCs w:val="21"/>
        </w:rPr>
      </w:pPr>
      <w:r>
        <w:rPr>
          <w:sz w:val="21"/>
          <w:szCs w:val="21"/>
        </w:rPr>
        <w:t>A nivel humano, por tanto, se produce un fuerte impacto negativo, en primer lugar, por ese efecto barrera (también y en mayor medida en la fauna de la que posteriormente hablaremos) y, en segundo lugar, por las expropiaciones de parcelas agrarias, siendo la actividad agropecuaria uno de los pocos recursos que puede fijar población activa en un medio rural despoblado y envejecido. Se puede dar el caso de que agricultores activos y residentes en los municipios afectados pierdan la mayor parte de sus tierras productivas y que otras parcelas, cuyos propietarios no residen en la zona, se salven. Por ello lo justo sería que todos los propietarios del sector que atravesase la autovía perdieran la misma cantidad de terreno, y esto solo se consigue con una concentración parcelaria, que en cualquier caso no debería ser ni tan siquiera necesaria, pues lo sensato sería desistir en la realización de la autovía propuesta.</w:t>
      </w:r>
    </w:p>
    <w:p>
      <w:pPr>
        <w:pStyle w:val="Normal"/>
        <w:ind w:right="-710" w:firstLine="709"/>
        <w:jc w:val="both"/>
        <w:rPr>
          <w:rFonts w:cs="Arial"/>
          <w:b/>
          <w:b/>
          <w:sz w:val="21"/>
          <w:szCs w:val="21"/>
          <w:u w:val="single"/>
        </w:rPr>
      </w:pPr>
      <w:r>
        <w:rPr>
          <w:rFonts w:cs="Arial"/>
          <w:b/>
          <w:sz w:val="21"/>
          <w:szCs w:val="21"/>
          <w:u w:val="single"/>
        </w:rPr>
        <w:t xml:space="preserve">Quinta.- </w:t>
      </w:r>
    </w:p>
    <w:p>
      <w:pPr>
        <w:pStyle w:val="Normal"/>
        <w:ind w:right="-710" w:hanging="0"/>
        <w:jc w:val="both"/>
        <w:rPr>
          <w:b/>
          <w:b/>
          <w:sz w:val="21"/>
          <w:szCs w:val="21"/>
        </w:rPr>
      </w:pPr>
      <w:r>
        <w:rPr>
          <w:sz w:val="21"/>
          <w:szCs w:val="21"/>
        </w:rPr>
        <w:t xml:space="preserve">En cuanto a la fauna, el estudio de impacto ambiental es claramente insuficiente y sospechosamente favorable a la realización del proyecto, ya que siendo una de las zonas con mayor biodiversidad de toda la comarca, el estudio viene a hacer creer que no es una zona valiosa por su diversidad, por los números de especies presentes tan bajos que obtiene: “En total se han identificado 76 especies cuyas áreas de distribución para las especies que han mostrado algún tipo de tendencia de uso del territorio”. Sobre este dato tan irreal como infravalorado baste con decir que en la </w:t>
      </w:r>
      <w:r>
        <w:rPr>
          <w:b/>
          <w:sz w:val="21"/>
          <w:szCs w:val="21"/>
        </w:rPr>
        <w:t>“Guía de las Aves de La Moraña y Tierra de Arévalo” (Martín y Sierra,1999) se citan en este mismo territorio más de 150 especies tan solo de aves.</w:t>
      </w:r>
    </w:p>
    <w:p>
      <w:pPr>
        <w:pStyle w:val="Normal"/>
        <w:spacing w:before="0" w:after="120"/>
        <w:ind w:right="-710" w:hanging="0"/>
        <w:jc w:val="both"/>
        <w:rPr>
          <w:rFonts w:cs="Arial"/>
          <w:sz w:val="21"/>
          <w:szCs w:val="21"/>
        </w:rPr>
      </w:pPr>
      <w:r>
        <w:rPr>
          <w:sz w:val="21"/>
          <w:szCs w:val="21"/>
        </w:rPr>
        <w:t xml:space="preserve">Y en ningún momento del estudio se cita que el efecto barrera que supone la fragmentación del territorio puede influir negativamente en la población de varias especies de mamíferos tanto cinegéticos como protegidos como es el caso del conejo, liebre, erizo, musaraña, corzo, jabalí, zorro, lobo, nutria, tejón, garduña, turón, comadreja, gato montés o jineta. Más aún, siendo uno de los espacios afectados, el corredor natural del Adaja, utilizado por multitud de especies para desplazarse desde el río Duero hacia el sur, por la cobertura y seguridad que les proporciona un espacio forestal, el único de entidad en toda la comarca de La Moraña. En este aspecto, la autovía proyectada impide los desplazamientos naturales de estas especies desde el mencionado corredor hacia el oeste, en su primera parte del recorrido y en dirección norte/sur en la parte que corta tangencialmente la zona forestal del corredor. Y es que este territorio, por tanto, </w:t>
      </w:r>
      <w:r>
        <w:rPr>
          <w:rFonts w:cs="Arial"/>
          <w:b/>
          <w:sz w:val="21"/>
          <w:szCs w:val="21"/>
        </w:rPr>
        <w:t>constituye un corredor ecológico de primer orden</w:t>
      </w:r>
      <w:r>
        <w:rPr>
          <w:rFonts w:cs="Arial"/>
          <w:sz w:val="21"/>
          <w:szCs w:val="21"/>
        </w:rPr>
        <w:t xml:space="preserve">, figura de protección contemplada en la Ley 33/2015, de 21 de septiembre, por la que se modifica la Ley 42/2007, de 13 de diciembre, del Patrimonio Natural y de la Biodiversidad, en concreto en su artículo 21 que de manera literal dice: “Las Administraciones Públicas preverán, en su planificación ambiental o en los Planes de Ordenación de los Recursos Naturales, mecanismos </w:t>
      </w:r>
      <w:r>
        <w:rPr>
          <w:rFonts w:cs="Arial"/>
          <w:b/>
          <w:sz w:val="21"/>
          <w:szCs w:val="21"/>
        </w:rPr>
        <w:t xml:space="preserve">para lograr la conectividad ecológica del territorio, estableciendo o restableciendo corredores, </w:t>
      </w:r>
      <w:r>
        <w:rPr>
          <w:rFonts w:cs="Arial"/>
          <w:sz w:val="21"/>
          <w:szCs w:val="21"/>
        </w:rPr>
        <w:t>en particular entre los espacios protegidos Red Natura 2000 y entre aquellos espacios naturales de singular relevancia para la biodiversidad. Para ello se otorgará un papel prioritario a</w:t>
      </w:r>
      <w:r>
        <w:rPr>
          <w:rFonts w:cs="Arial"/>
          <w:b/>
          <w:sz w:val="21"/>
          <w:szCs w:val="21"/>
        </w:rPr>
        <w:t xml:space="preserve"> los cursos fluviales (el Adaja en este caso), </w:t>
      </w:r>
      <w:r>
        <w:rPr>
          <w:rFonts w:cs="Arial"/>
          <w:sz w:val="21"/>
          <w:szCs w:val="21"/>
        </w:rPr>
        <w:t xml:space="preserve">las vías pecuarias, las áreas de montaña y otros elementos del territorio, lineales y continuos, o que actúan como puntos de enlace, </w:t>
      </w:r>
      <w:r>
        <w:rPr>
          <w:rFonts w:cs="Arial"/>
          <w:b/>
          <w:sz w:val="21"/>
          <w:szCs w:val="21"/>
        </w:rPr>
        <w:t>con independencia de que tengan la condición de espacios naturales protegidos.</w:t>
      </w:r>
    </w:p>
    <w:p>
      <w:pPr>
        <w:pStyle w:val="Normal"/>
        <w:ind w:right="-710" w:hanging="0"/>
        <w:jc w:val="both"/>
        <w:rPr>
          <w:rFonts w:cs="Arial"/>
          <w:sz w:val="21"/>
          <w:szCs w:val="21"/>
        </w:rPr>
      </w:pPr>
      <w:r>
        <w:rPr>
          <w:rFonts w:cs="Arial"/>
          <w:sz w:val="21"/>
          <w:szCs w:val="21"/>
        </w:rPr>
        <w:t xml:space="preserve">Respecto a las aves, la obra proyectada atraviesa, divide y destruye parcialmente la mejor área para las aves de toda la comarca de La Moraña, al ser precisamente esta </w:t>
      </w:r>
      <w:r>
        <w:rPr>
          <w:rFonts w:cs="Arial"/>
          <w:b/>
          <w:sz w:val="21"/>
          <w:szCs w:val="21"/>
        </w:rPr>
        <w:t>zona de contacto entre río, bosque y tierras de cultivo, donde se produce la mayor diversidad de especies, ya que en muy poco espacio se pueden observar aves esteparias</w:t>
      </w:r>
      <w:r>
        <w:rPr>
          <w:rFonts w:cs="Arial"/>
          <w:sz w:val="21"/>
          <w:szCs w:val="21"/>
        </w:rPr>
        <w:t xml:space="preserve"> como avutarda, sisón, alcaraván, aguilucho cenizo y pálido, ganga ortega, calandria o esmerejón </w:t>
      </w:r>
      <w:r>
        <w:rPr>
          <w:rFonts w:cs="Arial"/>
          <w:b/>
          <w:sz w:val="21"/>
          <w:szCs w:val="21"/>
        </w:rPr>
        <w:t>junto a especies forestales, rupícolas o riparias</w:t>
      </w:r>
      <w:r>
        <w:rPr>
          <w:rFonts w:cs="Arial"/>
          <w:sz w:val="21"/>
          <w:szCs w:val="21"/>
        </w:rPr>
        <w:t xml:space="preserve"> como halcón peregrino, alcotán, milano real, milano negro, águila calzada, águila imperial ibérica, ratonero, azor, gavilán, búho real y chico, totovía, cogujada montesina, curruca rabilarga, gorrión chillón, martín pescador o abejaruco, entre varias decenas más. Todo ello con el agravante de que entre ellas se encuentran varios territorios de algunas especies en peligro de extinción, vulnerables o con diferentes grados de sensibilidad a la alteración de su hábitat, cosa que hace la autovía proyectada: alterar gravemente el hábitat de estas especies amenazadas.</w:t>
      </w:r>
    </w:p>
    <w:p>
      <w:pPr>
        <w:pStyle w:val="Normal"/>
        <w:ind w:right="-710" w:hanging="0"/>
        <w:jc w:val="both"/>
        <w:rPr>
          <w:rFonts w:cs="Arial"/>
          <w:sz w:val="21"/>
          <w:szCs w:val="21"/>
        </w:rPr>
      </w:pPr>
      <w:r>
        <w:rPr>
          <w:rFonts w:cs="Arial"/>
          <w:sz w:val="21"/>
          <w:szCs w:val="21"/>
        </w:rPr>
        <w:t xml:space="preserve">Baste citar como ejemplo que </w:t>
      </w:r>
      <w:r>
        <w:rPr>
          <w:rFonts w:cs="Arial"/>
          <w:b/>
          <w:sz w:val="21"/>
          <w:szCs w:val="21"/>
        </w:rPr>
        <w:t>la obra proyectada atravesaría el territorio de alimentación de cuatro parejas de águila imperial ibérica (</w:t>
      </w:r>
      <w:r>
        <w:rPr>
          <w:rFonts w:cs="Arial"/>
          <w:b/>
          <w:i/>
          <w:sz w:val="21"/>
          <w:szCs w:val="21"/>
        </w:rPr>
        <w:t>Aquila adalberti</w:t>
      </w:r>
      <w:r>
        <w:rPr>
          <w:rFonts w:cs="Arial"/>
          <w:b/>
          <w:sz w:val="21"/>
          <w:szCs w:val="21"/>
        </w:rPr>
        <w:t>) y dos territorios de nidificación</w:t>
      </w:r>
      <w:r>
        <w:rPr>
          <w:rFonts w:cs="Arial"/>
          <w:sz w:val="21"/>
          <w:szCs w:val="21"/>
        </w:rPr>
        <w:t>. De aquí se deduce que existiendo legislación específica para la especie (Decreto 114/2003, de 2 de octubre, el Plan de Recuperación del Águila Imperial Ibérica) ésta no ha sido tenido en cuenta.</w:t>
      </w:r>
    </w:p>
    <w:p>
      <w:pPr>
        <w:pStyle w:val="Normal"/>
        <w:ind w:right="-710" w:hanging="0"/>
        <w:jc w:val="both"/>
        <w:rPr>
          <w:rFonts w:cs="Arial"/>
          <w:sz w:val="21"/>
          <w:szCs w:val="21"/>
        </w:rPr>
      </w:pPr>
      <w:r>
        <w:rPr>
          <w:rFonts w:cs="Arial"/>
          <w:sz w:val="21"/>
          <w:szCs w:val="21"/>
        </w:rPr>
        <w:t xml:space="preserve">Debido tanto a la diversidad de aves, como a la presencia de especies amenazadas, la zona está catalogada como </w:t>
      </w:r>
      <w:r>
        <w:rPr>
          <w:rFonts w:cs="Arial"/>
          <w:b/>
          <w:sz w:val="21"/>
          <w:szCs w:val="21"/>
        </w:rPr>
        <w:t>Área Importante para las Aves (IBA nº 425)</w:t>
      </w:r>
      <w:r>
        <w:rPr>
          <w:rFonts w:cs="Arial"/>
          <w:sz w:val="21"/>
          <w:szCs w:val="21"/>
        </w:rPr>
        <w:t xml:space="preserve"> paso previo para ser declarada Zona de Especial Protección para las Aves (ZEPA), figura que se viene solicitando de forma reiterada por diversas asociaciones y particulares desde el año 2008. Y lo es por las </w:t>
      </w:r>
      <w:r>
        <w:rPr>
          <w:rFonts w:cs="Arial"/>
          <w:b/>
          <w:sz w:val="21"/>
          <w:szCs w:val="21"/>
        </w:rPr>
        <w:t>poblaciones importantes a nivel mundial o europeo de cuatro especies: grulla común, ánsar común, milano real y águila imperial ibérica, estas dos últimas incluidas en el catálogo español de especies amenazadas con la categoría de en peligro de extinción.</w:t>
      </w:r>
    </w:p>
    <w:p>
      <w:pPr>
        <w:pStyle w:val="Normal"/>
        <w:ind w:right="-710" w:hanging="0"/>
        <w:jc w:val="both"/>
        <w:rPr>
          <w:rFonts w:cs="Arial"/>
          <w:sz w:val="21"/>
          <w:szCs w:val="21"/>
        </w:rPr>
      </w:pPr>
      <w:r>
        <w:rPr>
          <w:rFonts w:cs="Arial"/>
          <w:sz w:val="21"/>
          <w:szCs w:val="21"/>
        </w:rPr>
        <w:t>Y debería ser ZEPA por ser una zona donde habitan 27 especies de aves cuya conservación es prioritaria al estar incluidas en el Anexo I de la Directiva de Aves. Entre estas, las doce especies amenazadas nidificantes más representativas son: totovía, cogujada montesina, carraca, curruca rabilarga, martín pescador, búho real, halcón peregrino, águila calzada, milano negro, águila culebrera y las anteriormente citadas milano real y águila imperial.</w:t>
      </w:r>
    </w:p>
    <w:p>
      <w:pPr>
        <w:pStyle w:val="Normal"/>
        <w:ind w:right="-710" w:firstLine="709"/>
        <w:jc w:val="both"/>
        <w:rPr>
          <w:rFonts w:cs="Arial"/>
          <w:b/>
          <w:b/>
          <w:sz w:val="21"/>
          <w:szCs w:val="21"/>
          <w:u w:val="single"/>
        </w:rPr>
      </w:pPr>
      <w:r>
        <w:rPr>
          <w:rFonts w:cs="Arial"/>
          <w:b/>
          <w:sz w:val="21"/>
          <w:szCs w:val="21"/>
          <w:u w:val="single"/>
        </w:rPr>
        <w:t xml:space="preserve">Sexta.- </w:t>
      </w:r>
    </w:p>
    <w:p>
      <w:pPr>
        <w:pStyle w:val="Normal"/>
        <w:ind w:right="-710" w:hanging="0"/>
        <w:jc w:val="both"/>
        <w:rPr>
          <w:rFonts w:cs="Arial"/>
          <w:sz w:val="21"/>
          <w:szCs w:val="21"/>
        </w:rPr>
      </w:pPr>
      <w:r>
        <w:rPr>
          <w:rFonts w:cs="Arial"/>
          <w:sz w:val="21"/>
          <w:szCs w:val="21"/>
        </w:rPr>
        <w:t>En cuanto a la flora se produce la destrucción de una buena parte del Monte de Utilidad Pública (MUP) 38 perteneciente a San Pascual que llega hasta la ribera del Adaja y del 142 perteneciente a Pajares de Adaja que se extiende paralelo a la ribera del río. Sobre la destrucción de zona forestal, decir que la comarca de La Moraña no se puede permitir la pérdida de una sola hectárea de suelo arbolado ya que de las 150.000 ha. que ocupa, solo 5.000, es decir, el 3,3% de esta superficie es suelo con cubierta arbolada. La autovía proyectada atraviesa el corredor del Adaja entre los términos de San Pascual y Pajares de Adaja de forma innecesaria siendo los pinares y la ribera del Adaja el soporte principal del denominado Corredor del Adaja. Decir también, que están presentes en la zona varios Hábitats de Interés Comunitario presentes en la Directiva 92/43/CEE, al menos seis, por los que debe ser declarada Zona Especial de Conservación (ZEC).</w:t>
      </w:r>
    </w:p>
    <w:p>
      <w:pPr>
        <w:pStyle w:val="Normal"/>
        <w:ind w:right="-710" w:hanging="0"/>
        <w:jc w:val="both"/>
        <w:rPr>
          <w:rFonts w:cs="Arial"/>
          <w:sz w:val="21"/>
          <w:szCs w:val="21"/>
        </w:rPr>
      </w:pPr>
      <w:r>
        <w:rPr>
          <w:rFonts w:cs="Arial"/>
          <w:sz w:val="21"/>
          <w:szCs w:val="21"/>
        </w:rPr>
        <w:t>Tanto por la Directiva de Hábitats 92/43/CE relativa a la conservación de los hábitats naturales y de la fauna y flora silvestres, que crea los espacios ZEC, como por la Directiva de Aves 2009/147/CE relativa a la conservación de las aves silvestres, que crea los espacios ZEPA, el Corredor del Adaja y terrenos colindantes deben ser incluidos como espacio de la Red Natura 2000. Según la legislación medioambiental el hecho de que una administración aún no haya incluido un espacio en su red de espacios protegidos, siendo este merecedor de serlo, no implica que no se deba cumplir la legislación al respecto. Por ejemplo, si en un espacio aún no protegido, hay una especie en peligro de extinción, existiendo normativa europea, nacional o autonómica destinada a la conservación de la misma, esta debe aplicarse. Obras en proyecto como esta autovía o la pretendida macrourbanización de Villanueva de Gómez pudieran ser la causa de que aún no se haya aplicado la legislación ambiental y protegido convenientemente la zona. De ser así, España estaría incumpliendo de forma intencionada la legislación europea y favoreciendo proyectos que afectan negativamente al espacio en cuestión, y esto, si así fuera, raya en la prevaricación, porque, todo el Corredor del Adaja es ZEC o ZEPA desde su nacimiento hasta su desembocadura salvo el espacio que nos ocupa, sospechoso, ¿verdad?</w:t>
      </w:r>
    </w:p>
    <w:p>
      <w:pPr>
        <w:pStyle w:val="Normal"/>
        <w:ind w:right="-710" w:firstLine="709"/>
        <w:jc w:val="both"/>
        <w:rPr>
          <w:rFonts w:cs="Arial"/>
          <w:b/>
          <w:b/>
          <w:sz w:val="21"/>
          <w:szCs w:val="21"/>
          <w:u w:val="single"/>
        </w:rPr>
      </w:pPr>
      <w:r>
        <w:rPr>
          <w:rFonts w:cs="Arial"/>
          <w:b/>
          <w:sz w:val="21"/>
          <w:szCs w:val="21"/>
          <w:u w:val="single"/>
        </w:rPr>
        <w:t xml:space="preserve">Séptima.- </w:t>
      </w:r>
    </w:p>
    <w:p>
      <w:pPr>
        <w:pStyle w:val="Normal"/>
        <w:ind w:right="-710" w:hanging="0"/>
        <w:jc w:val="both"/>
        <w:rPr>
          <w:rFonts w:cs="Arial"/>
          <w:sz w:val="21"/>
          <w:szCs w:val="21"/>
        </w:rPr>
      </w:pPr>
      <w:r>
        <w:rPr>
          <w:rFonts w:cs="Arial"/>
          <w:sz w:val="21"/>
          <w:szCs w:val="21"/>
        </w:rPr>
        <w:t xml:space="preserve">En lo referente a los acuíferos, </w:t>
      </w:r>
      <w:r>
        <w:rPr>
          <w:rFonts w:cs="Arial"/>
          <w:b/>
          <w:sz w:val="21"/>
          <w:szCs w:val="21"/>
        </w:rPr>
        <w:t>el proyecto elegido atraviesa una zona de alta permeabilidad</w:t>
      </w:r>
      <w:r>
        <w:rPr>
          <w:rFonts w:cs="Arial"/>
          <w:sz w:val="21"/>
          <w:szCs w:val="21"/>
        </w:rPr>
        <w:t>: los pinares asentados sobre dunas del cuaternario con un porcentaje de arenas cercano al 100% emplazados entre los ríos Adaja y Arevalillo. En una comarca netamente agrícola como la que nos ocupa, durante los últimos treinta años se ha producido una sobreexplotación del acuífero de los Arenales, lo que ha provocado la contaminación de las aguas por arsénico y nitratos. Ahora el agua del acuífero no puede ser utilizada para el consumo humano en una buena parte de los municipios de esta comarca y de otras limítrofes.</w:t>
      </w:r>
    </w:p>
    <w:p>
      <w:pPr>
        <w:pStyle w:val="Normal"/>
        <w:ind w:right="-710" w:hanging="0"/>
        <w:jc w:val="both"/>
        <w:rPr>
          <w:rFonts w:cs="Arial"/>
          <w:sz w:val="21"/>
          <w:szCs w:val="21"/>
        </w:rPr>
      </w:pPr>
      <w:r>
        <w:rPr>
          <w:rFonts w:cs="Arial"/>
          <w:sz w:val="21"/>
          <w:szCs w:val="21"/>
        </w:rPr>
        <w:t>Se da la circunstancia de que los bosques asentados sobre arenas son la principal zona de recarga con la que cuenta el maltrecho acuífero en la actualidad. Las aguas de las lluvias pasan al subsuelo casi en su totalidad pues apenas existe la escorrentía en terrenos llanos, arenosos y arbolados. Las tamujas de los pinos retienen el agua de las precipitaciones favoreciendo la recarga. Se podría decir que estos pinares asentados sobre dunas actúan como una enorme esponja absorbiendo casi toda el agua ya sea en forma de lluvia, nieve, niebla o escarcha, con la particularidad de que el agua pasa al acuífero limpia al no entrar en contacto con los peligrosos pesticidas y abonos de las tierras de labor circundantes. Nutren, entonces, al acuífero con aguas de calidad y en cantidad, por lo que se puede considerar como el principal embalse natural de esta comarca altamente deforestada.</w:t>
      </w:r>
    </w:p>
    <w:p>
      <w:pPr>
        <w:pStyle w:val="Normal"/>
        <w:ind w:right="-710" w:hanging="0"/>
        <w:jc w:val="both"/>
        <w:rPr>
          <w:rFonts w:cs="Arial"/>
          <w:b/>
          <w:b/>
          <w:sz w:val="21"/>
          <w:szCs w:val="21"/>
        </w:rPr>
      </w:pPr>
      <w:r>
        <w:rPr>
          <w:rFonts w:cs="Arial"/>
          <w:b/>
          <w:sz w:val="21"/>
          <w:szCs w:val="21"/>
        </w:rPr>
        <w:t>La autovía proyectada, primero transcurre paralela a la masa de pinares durante un buen trecho y luego la corta transversalmente, como ya se ha dicho, por una zona de permeabilidad alta.</w:t>
      </w:r>
    </w:p>
    <w:p>
      <w:pPr>
        <w:pStyle w:val="Normal"/>
        <w:ind w:right="-710" w:hanging="0"/>
        <w:jc w:val="both"/>
        <w:rPr>
          <w:rFonts w:cs="Arial"/>
          <w:sz w:val="21"/>
          <w:szCs w:val="21"/>
        </w:rPr>
      </w:pPr>
      <w:r>
        <w:rPr>
          <w:rFonts w:cs="Arial"/>
          <w:sz w:val="21"/>
          <w:szCs w:val="21"/>
        </w:rPr>
        <w:t xml:space="preserve">También, de forma sospechosa, el estudio dice que no hay manantiales en la zona que podría estar afectada por las diversas variantes, y solo cita uno fuera del territorio: “No existen manantiales en el ámbito de estudio, estando el más próximo, 7700001 “Ermita del Parral”, a más de 20 km del inicio de las alternativas”. </w:t>
      </w:r>
      <w:r>
        <w:rPr>
          <w:rFonts w:cs="Arial"/>
          <w:b/>
          <w:sz w:val="21"/>
          <w:szCs w:val="21"/>
        </w:rPr>
        <w:t>En realidad, al menos existen tres manantiales en la zona</w:t>
      </w:r>
      <w:r>
        <w:rPr>
          <w:rFonts w:cs="Arial"/>
          <w:sz w:val="21"/>
          <w:szCs w:val="21"/>
        </w:rPr>
        <w:t>: Uno en El Oso, cerca de la Laguna, el del Chorrillo situado junto a las ruinas del molino del mismo nombre en Villanueva de Gómez, muy cerca de donde se produce el paso de la autovía sobre el río, y un tercero el de Aldehuela de Fuentes, junto a las ruinas de dos molinos, en Espinosa de los Caballeros. Los tres manan agua de forma permanente, incluso en periodos de prolongada sequía.</w:t>
      </w:r>
    </w:p>
    <w:p>
      <w:pPr>
        <w:pStyle w:val="Normal"/>
        <w:ind w:right="-710" w:firstLine="709"/>
        <w:jc w:val="both"/>
        <w:rPr>
          <w:rFonts w:cs="Arial"/>
          <w:b/>
          <w:b/>
          <w:sz w:val="21"/>
          <w:szCs w:val="21"/>
          <w:u w:val="single"/>
        </w:rPr>
      </w:pPr>
      <w:r>
        <w:rPr>
          <w:rFonts w:cs="Arial"/>
          <w:b/>
          <w:sz w:val="21"/>
          <w:szCs w:val="21"/>
          <w:u w:val="single"/>
        </w:rPr>
        <w:t xml:space="preserve">Octava.- </w:t>
      </w:r>
    </w:p>
    <w:p>
      <w:pPr>
        <w:pStyle w:val="Normal"/>
        <w:ind w:right="-710" w:hanging="0"/>
        <w:jc w:val="both"/>
        <w:rPr>
          <w:rFonts w:cs="Arial"/>
          <w:sz w:val="21"/>
          <w:szCs w:val="21"/>
        </w:rPr>
      </w:pPr>
      <w:r>
        <w:rPr>
          <w:rFonts w:cs="Arial"/>
          <w:sz w:val="21"/>
          <w:szCs w:val="21"/>
        </w:rPr>
        <w:t>Por otra parte, la obra es a todas luces innecesaria, además de que los aforos no justifican la inversión, la obra ya está hecha, pues hay otra vía rápida que une Ávila con la AP-6, se trata de la AP-51, la autopista de peaje entre Ávila y Villacastín que, desde un principio debió ser autovía. Valladolid, Salamanca, Zamora, Palencia, León, incluso Burgos, están unidas a la A-6 por autovía, en cambio Segovia y Ávila se unieron a la AP-6 por autopista de peaje, lo que resulta un agravio comparativo que repercute negativamente en la economía de ambas capitales, ¿justifica esto la realización de la autovía proyectada?, no, en absoluto. Este comportamiento agravioso de la administración del Estado con Ávila no se soluciona con una obra que podría incumplir legislación medioambiental y que resulta perjudicial e innecesaria. Solo se puede solucionar de una manera: igual que se ha retirado el peaje en la AP-1 en Burgos, </w:t>
      </w:r>
      <w:r>
        <w:rPr>
          <w:rFonts w:cs="Arial"/>
          <w:b/>
          <w:sz w:val="21"/>
          <w:szCs w:val="21"/>
        </w:rPr>
        <w:t>debe retirarse el peaje de la AP-51 y la AP-6 y convertir ambas en autovías</w:t>
      </w:r>
      <w:r>
        <w:rPr>
          <w:rFonts w:cs="Arial"/>
          <w:sz w:val="21"/>
          <w:szCs w:val="21"/>
        </w:rPr>
        <w:t>. Esta sí sería una solución justa y realmente necesaria. Y es, sin duda, la alternativa más viable a este descabellado proyecto. </w:t>
      </w:r>
      <w:r>
        <w:rPr>
          <w:rFonts w:cs="Arial"/>
          <w:b/>
          <w:sz w:val="21"/>
          <w:szCs w:val="21"/>
        </w:rPr>
        <w:t>Sí que estaríamos de acuerdo y debería realizarse el eliminar el paso de la N-403 por Santo Domingo de las Posadas o Pajares de Adaja y la realización de carriles adicionales para vehículos lentos, lo que reduciría el tiempo y mejoraría la fluidez y seguridad del tráfico.</w:t>
      </w:r>
    </w:p>
    <w:p>
      <w:pPr>
        <w:pStyle w:val="Normal"/>
        <w:ind w:right="-710" w:hanging="0"/>
        <w:jc w:val="both"/>
        <w:rPr>
          <w:rFonts w:cs="Arial"/>
          <w:sz w:val="21"/>
          <w:szCs w:val="21"/>
        </w:rPr>
      </w:pPr>
      <w:r>
        <w:rPr>
          <w:rFonts w:cs="Arial"/>
          <w:sz w:val="21"/>
          <w:szCs w:val="21"/>
        </w:rPr>
        <w:t>Además, la clase política parece que se ha cebado con esta zona de La Moraña abulense, primero con el intento de macrourbanización en el pinar de Villanueva de Gómez, paralizada por sentencia firme del Tribunal Superior de Justicia de Castilla y León, que declara las obras iniciadas ilegales y ordena devolver el pinar al estado previo al inicio de las mismas. Y, ahora, con una autovía que destruye y altera el medio agrícola y natural, que nadie ha pedido y que nadie necesita y que nos aleja de cumplir cualquier requisito de reducción de emisiones de CO2 y con los objetivos de la Agenda 2030 para el Desarrollo Sostenible de Naciones Unidas.</w:t>
      </w:r>
    </w:p>
    <w:p>
      <w:pPr>
        <w:pStyle w:val="Normal"/>
        <w:ind w:right="-710" w:firstLine="709"/>
        <w:jc w:val="both"/>
        <w:rPr>
          <w:rFonts w:cs="Arial"/>
          <w:b/>
          <w:b/>
          <w:sz w:val="21"/>
          <w:szCs w:val="21"/>
          <w:u w:val="single"/>
        </w:rPr>
      </w:pPr>
      <w:r>
        <w:rPr>
          <w:rFonts w:cs="Arial"/>
          <w:b/>
          <w:sz w:val="21"/>
          <w:szCs w:val="21"/>
          <w:u w:val="single"/>
        </w:rPr>
        <w:t xml:space="preserve">Novena.-  </w:t>
      </w:r>
    </w:p>
    <w:p>
      <w:pPr>
        <w:pStyle w:val="Normal"/>
        <w:spacing w:before="0" w:after="120"/>
        <w:ind w:right="-710" w:hanging="0"/>
        <w:jc w:val="both"/>
        <w:rPr>
          <w:rFonts w:cs="Arial"/>
          <w:sz w:val="21"/>
          <w:szCs w:val="21"/>
        </w:rPr>
      </w:pPr>
      <w:r>
        <w:rPr>
          <w:rFonts w:cs="Arial"/>
          <w:sz w:val="21"/>
          <w:szCs w:val="21"/>
        </w:rPr>
        <w:t xml:space="preserve">Según establece el artículo 31 y concordantes de la Ley 30/92, de 26 de noviembre, y el artículo 4 Ley 39/2015, de 1 de octubre, manifiesto mi </w:t>
      </w:r>
      <w:r>
        <w:rPr>
          <w:rFonts w:cs="Arial"/>
          <w:b/>
          <w:sz w:val="21"/>
          <w:szCs w:val="21"/>
        </w:rPr>
        <w:t>condición de interesado en el expediente, de suerte que se entenderán con esta parte cuantas actuaciones se acuerden en el expediente, incluyendo propuestas de resolución o comunicación de resolución del mismo</w:t>
      </w:r>
      <w:r>
        <w:rPr>
          <w:rFonts w:cs="Arial"/>
          <w:sz w:val="21"/>
          <w:szCs w:val="21"/>
        </w:rPr>
        <w:t>.</w:t>
      </w:r>
    </w:p>
    <w:p>
      <w:pPr>
        <w:pStyle w:val="Normal"/>
        <w:spacing w:before="0" w:after="120"/>
        <w:ind w:right="-710" w:hanging="0"/>
        <w:jc w:val="both"/>
        <w:rPr>
          <w:rFonts w:ascii="Arial" w:hAnsi="Arial" w:cs="Arial"/>
          <w:sz w:val="21"/>
          <w:szCs w:val="21"/>
        </w:rPr>
      </w:pPr>
      <w:r>
        <w:rPr>
          <w:rFonts w:cs="Arial" w:ascii="Arial" w:hAnsi="Arial"/>
          <w:sz w:val="21"/>
          <w:szCs w:val="21"/>
        </w:rPr>
      </w:r>
    </w:p>
    <w:p>
      <w:pPr>
        <w:pStyle w:val="Normal"/>
        <w:spacing w:before="240" w:after="240"/>
        <w:ind w:right="-710" w:hanging="0"/>
        <w:jc w:val="both"/>
        <w:rPr>
          <w:rFonts w:ascii="Arial" w:hAnsi="Arial" w:cs="Arial"/>
          <w:b/>
          <w:b/>
          <w:sz w:val="21"/>
          <w:szCs w:val="21"/>
          <w:u w:val="single"/>
        </w:rPr>
      </w:pPr>
      <w:r>
        <w:rPr>
          <w:rFonts w:cs="Arial" w:ascii="Arial" w:hAnsi="Arial"/>
          <w:b/>
          <w:sz w:val="21"/>
          <w:szCs w:val="21"/>
          <w:u w:val="single"/>
        </w:rPr>
        <w:t>Por todo lo anterior,</w:t>
      </w:r>
    </w:p>
    <w:p>
      <w:pPr>
        <w:pStyle w:val="Normal"/>
        <w:spacing w:before="240" w:after="240"/>
        <w:ind w:right="-710" w:hanging="0"/>
        <w:jc w:val="both"/>
        <w:rPr>
          <w:rFonts w:ascii="Arial" w:hAnsi="Arial" w:cs="Arial"/>
          <w:b/>
          <w:b/>
          <w:sz w:val="21"/>
          <w:szCs w:val="21"/>
          <w:u w:val="single"/>
        </w:rPr>
      </w:pPr>
      <w:r>
        <w:rPr>
          <w:rFonts w:cs="Arial" w:ascii="Arial" w:hAnsi="Arial"/>
          <w:b/>
          <w:sz w:val="21"/>
          <w:szCs w:val="21"/>
          <w:u w:val="single"/>
        </w:rPr>
        <w:t>SOLICITAMOS</w:t>
      </w:r>
    </w:p>
    <w:p>
      <w:pPr>
        <w:pStyle w:val="Normal"/>
        <w:spacing w:before="240" w:after="240"/>
        <w:ind w:right="-710" w:hanging="0"/>
        <w:jc w:val="both"/>
        <w:rPr>
          <w:rFonts w:cs="Arial"/>
          <w:sz w:val="21"/>
          <w:szCs w:val="21"/>
        </w:rPr>
      </w:pPr>
      <w:r>
        <w:rPr>
          <w:rFonts w:cs="Arial"/>
          <w:b/>
          <w:sz w:val="21"/>
          <w:szCs w:val="21"/>
        </w:rPr>
        <w:t>Una Declaración de Impacto Ambiental (DIA) Negativa</w:t>
      </w:r>
      <w:r>
        <w:rPr>
          <w:rFonts w:cs="Arial"/>
          <w:sz w:val="21"/>
          <w:szCs w:val="21"/>
        </w:rPr>
        <w:t xml:space="preserve"> ante los muy graves e irreversibles impactos ambientales (agua, vegetación, fauna, IBA, MUP, corredores ecológicos, entre otros), culturales y socieconómicos que en el espacio y el tiempo generaría el proyecto de la </w:t>
      </w:r>
      <w:r>
        <w:rPr/>
        <w:t>Autovía entre Ávila (A-50) y la Autovía del Noroeste (A-6)".</w:t>
      </w:r>
      <w:r>
        <w:rPr>
          <w:rFonts w:cs="Arial"/>
          <w:sz w:val="21"/>
          <w:szCs w:val="21"/>
        </w:rPr>
        <w:t xml:space="preserve"> En consecuencia de todo ello, pido que se me tenga como interesado y afectado en el Expediente y en el Procedimiento, y que se me den traslado de todas las actuaciones que se acuerden en el mismo.</w:t>
      </w:r>
    </w:p>
    <w:p>
      <w:pPr>
        <w:pStyle w:val="Normal"/>
        <w:spacing w:before="240" w:after="240"/>
        <w:ind w:right="-710" w:hanging="0"/>
        <w:jc w:val="both"/>
        <w:rPr>
          <w:rFonts w:cs="Arial"/>
          <w:sz w:val="21"/>
          <w:szCs w:val="21"/>
        </w:rPr>
      </w:pPr>
      <w:r>
        <w:rPr>
          <w:rFonts w:cs="Arial"/>
          <w:sz w:val="21"/>
          <w:szCs w:val="21"/>
        </w:rPr>
      </w:r>
    </w:p>
    <w:p>
      <w:pPr>
        <w:pStyle w:val="Normal"/>
        <w:spacing w:before="240" w:after="240"/>
        <w:ind w:right="-710" w:hanging="0"/>
        <w:jc w:val="center"/>
        <w:rPr>
          <w:rFonts w:cs="Arial"/>
          <w:sz w:val="21"/>
          <w:szCs w:val="21"/>
        </w:rPr>
      </w:pPr>
      <w:r>
        <w:rPr>
          <w:rFonts w:cs="Arial"/>
          <w:sz w:val="21"/>
          <w:szCs w:val="21"/>
        </w:rPr>
        <w:t>En Madrid a 24 de Enero de 2019.</w:t>
      </w:r>
    </w:p>
    <w:p>
      <w:pPr>
        <w:pStyle w:val="Normal"/>
        <w:spacing w:before="240" w:after="240"/>
        <w:ind w:right="-710" w:hanging="0"/>
        <w:jc w:val="center"/>
        <w:rPr>
          <w:rFonts w:cs="Arial"/>
          <w:sz w:val="21"/>
          <w:szCs w:val="21"/>
        </w:rPr>
      </w:pPr>
      <w:r>
        <w:rPr>
          <w:rFonts w:cs="Arial"/>
          <w:sz w:val="21"/>
          <w:szCs w:val="21"/>
        </w:rPr>
      </w:r>
    </w:p>
    <w:p>
      <w:pPr>
        <w:pStyle w:val="Normal"/>
        <w:spacing w:before="0" w:after="200"/>
        <w:ind w:right="-710" w:hanging="0"/>
        <w:rPr/>
      </w:pPr>
      <w:r>
        <w:rPr>
          <w:rFonts w:cs="Arial"/>
          <w:sz w:val="21"/>
          <w:szCs w:val="21"/>
        </w:rPr>
        <w:t xml:space="preserve">Fdo: </w:t>
      </w:r>
    </w:p>
    <w:sectPr>
      <w:headerReference w:type="default" r:id="rId3"/>
      <w:footerReference w:type="default" r:id="rId4"/>
      <w:type w:val="nextPage"/>
      <w:pgSz w:w="11906" w:h="16838"/>
      <w:pgMar w:left="1134" w:right="1418" w:header="709" w:top="1134" w:footer="709"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mbria">
    <w:charset w:val="01"/>
    <w:family w:val="roman"/>
    <w:pitch w:val="variable"/>
  </w:font>
  <w:font w:name="Times New Roman">
    <w:charset w:val="01"/>
    <w:family w:val="roman"/>
    <w:pitch w:val="variable"/>
  </w:font>
  <w:font w:name="Courier New">
    <w:charset w:val="01"/>
    <w:family w:val="roman"/>
    <w:pitch w:val="variable"/>
  </w:font>
  <w:font w:name="Liberation Sans">
    <w:altName w:val="Arial"/>
    <w:charset w:val="01"/>
    <w:family w:val="swiss"/>
    <w:pitch w:val="variable"/>
  </w:font>
  <w:font w:name="Arial">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fldChar w:fldCharType="begin"/>
    </w:r>
    <w:r>
      <w:instrText> PAGE </w:instrText>
    </w:r>
    <w:r>
      <w:fldChar w:fldCharType="separate"/>
    </w:r>
    <w:r>
      <w:t>7</w:t>
    </w:r>
    <w:r>
      <w:fldChar w:fldCharType="end"/>
    </w:r>
  </w:p>
  <w:p>
    <w:pPr>
      <w:pStyle w:val="Footer"/>
      <w:tabs>
        <w:tab w:val="center" w:pos="4252" w:leader="none"/>
        <w:tab w:val="right" w:pos="8504" w:leader="none"/>
      </w:tabs>
      <w:spacing w:before="0" w:after="20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center"/>
      <w:rPr/>
    </w:pPr>
    <w:r>
      <w:rPr/>
    </w:r>
  </w:p>
  <w:p>
    <w:pPr>
      <w:pStyle w:val="Header"/>
      <w:tabs>
        <w:tab w:val="center" w:pos="4252" w:leader="none"/>
        <w:tab w:val="right" w:pos="8504" w:leader="none"/>
      </w:tabs>
      <w:spacing w:before="0" w:after="20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27"/>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s-ES" w:eastAsia="es-ES"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sz w:val="22"/>
      <w:szCs w:val="22"/>
      <w:lang w:eastAsia="en-US" w:val="es-ES" w:bidi="ar-SA"/>
    </w:rPr>
  </w:style>
  <w:style w:type="paragraph" w:styleId="Heading2">
    <w:name w:val="Heading 2"/>
    <w:basedOn w:val="Normal"/>
    <w:next w:val="Normal"/>
    <w:link w:val="Ttulo2Car"/>
    <w:uiPriority w:val="9"/>
    <w:semiHidden/>
    <w:unhideWhenUsed/>
    <w:qFormat/>
    <w:rsid w:val="005e4c74"/>
    <w:pPr>
      <w:keepNext/>
      <w:spacing w:before="240" w:after="60"/>
      <w:outlineLvl w:val="1"/>
    </w:pPr>
    <w:rPr>
      <w:rFonts w:ascii="Cambria" w:hAnsi="Cambria" w:eastAsia="Times New Roman"/>
      <w:b/>
      <w:bCs/>
      <w:i/>
      <w:iCs/>
      <w:sz w:val="28"/>
      <w:szCs w:val="28"/>
    </w:rPr>
  </w:style>
  <w:style w:type="paragraph" w:styleId="Heading3">
    <w:name w:val="Heading 3"/>
    <w:basedOn w:val="Normal"/>
    <w:link w:val="Ttulo3Car"/>
    <w:uiPriority w:val="9"/>
    <w:qFormat/>
    <w:rsid w:val="005a42b6"/>
    <w:pPr>
      <w:spacing w:lineRule="auto" w:line="240" w:beforeAutospacing="1" w:afterAutospacing="1"/>
      <w:outlineLvl w:val="2"/>
    </w:pPr>
    <w:rPr>
      <w:rFonts w:ascii="Times New Roman" w:hAnsi="Times New Roman" w:eastAsia="Times New Roman"/>
      <w:b/>
      <w:bCs/>
      <w:sz w:val="27"/>
      <w:szCs w:val="27"/>
      <w:lang w:eastAsia="es-ES"/>
    </w:rPr>
  </w:style>
  <w:style w:type="character" w:styleId="DefaultParagraphFont" w:default="1">
    <w:name w:val="Default Paragraph Font"/>
    <w:uiPriority w:val="1"/>
    <w:unhideWhenUsed/>
    <w:qFormat/>
    <w:rPr/>
  </w:style>
  <w:style w:type="character" w:styleId="EncabezadoCar" w:customStyle="1">
    <w:name w:val="Encabezado Car"/>
    <w:basedOn w:val="DefaultParagraphFont"/>
    <w:link w:val="Encabezado"/>
    <w:uiPriority w:val="99"/>
    <w:qFormat/>
    <w:rsid w:val="002d1649"/>
    <w:rPr>
      <w:sz w:val="22"/>
      <w:szCs w:val="22"/>
      <w:lang w:eastAsia="en-US"/>
    </w:rPr>
  </w:style>
  <w:style w:type="character" w:styleId="PiedepginaCar" w:customStyle="1">
    <w:name w:val="Pie de página Car"/>
    <w:basedOn w:val="DefaultParagraphFont"/>
    <w:link w:val="Piedepgina"/>
    <w:uiPriority w:val="99"/>
    <w:qFormat/>
    <w:rsid w:val="002d1649"/>
    <w:rPr>
      <w:sz w:val="22"/>
      <w:szCs w:val="22"/>
      <w:lang w:eastAsia="en-US"/>
    </w:rPr>
  </w:style>
  <w:style w:type="character" w:styleId="Appleconvertedspace" w:customStyle="1">
    <w:name w:val="apple-converted-space"/>
    <w:basedOn w:val="DefaultParagraphFont"/>
    <w:qFormat/>
    <w:rsid w:val="000c21a7"/>
    <w:rPr/>
  </w:style>
  <w:style w:type="character" w:styleId="Emphasis">
    <w:name w:val="Emphasis"/>
    <w:basedOn w:val="DefaultParagraphFont"/>
    <w:uiPriority w:val="20"/>
    <w:qFormat/>
    <w:rsid w:val="000c21a7"/>
    <w:rPr>
      <w:i/>
      <w:iCs/>
    </w:rPr>
  </w:style>
  <w:style w:type="character" w:styleId="Ttulo3Car" w:customStyle="1">
    <w:name w:val="Título 3 Car"/>
    <w:basedOn w:val="DefaultParagraphFont"/>
    <w:link w:val="Ttulo3"/>
    <w:uiPriority w:val="9"/>
    <w:qFormat/>
    <w:rsid w:val="005a42b6"/>
    <w:rPr>
      <w:rFonts w:ascii="Times New Roman" w:hAnsi="Times New Roman" w:eastAsia="Times New Roman"/>
      <w:b/>
      <w:bCs/>
      <w:sz w:val="27"/>
      <w:szCs w:val="27"/>
    </w:rPr>
  </w:style>
  <w:style w:type="character" w:styleId="InternetLink">
    <w:name w:val="Internet Link"/>
    <w:basedOn w:val="DefaultParagraphFont"/>
    <w:uiPriority w:val="99"/>
    <w:unhideWhenUsed/>
    <w:rsid w:val="00627e7e"/>
    <w:rPr>
      <w:color w:val="0000FF"/>
      <w:u w:val="single"/>
    </w:rPr>
  </w:style>
  <w:style w:type="character" w:styleId="Strong">
    <w:name w:val="Strong"/>
    <w:basedOn w:val="DefaultParagraphFont"/>
    <w:uiPriority w:val="22"/>
    <w:qFormat/>
    <w:rsid w:val="000800c2"/>
    <w:rPr>
      <w:b/>
      <w:bCs/>
    </w:rPr>
  </w:style>
  <w:style w:type="character" w:styleId="FollowedHyperlink">
    <w:name w:val="FollowedHyperlink"/>
    <w:basedOn w:val="DefaultParagraphFont"/>
    <w:uiPriority w:val="99"/>
    <w:semiHidden/>
    <w:unhideWhenUsed/>
    <w:qFormat/>
    <w:rsid w:val="007970b6"/>
    <w:rPr>
      <w:color w:val="800080"/>
      <w:u w:val="single"/>
    </w:rPr>
  </w:style>
  <w:style w:type="character" w:styleId="Sangra3detindependienteCar" w:customStyle="1">
    <w:name w:val="Sangría 3 de t. independiente Car"/>
    <w:basedOn w:val="DefaultParagraphFont"/>
    <w:link w:val="Sangra3detindependiente"/>
    <w:qFormat/>
    <w:rsid w:val="005b3342"/>
    <w:rPr>
      <w:rFonts w:ascii="Times New Roman" w:hAnsi="Times New Roman" w:eastAsia="Times New Roman"/>
      <w:color w:val="000000"/>
      <w:sz w:val="24"/>
    </w:rPr>
  </w:style>
  <w:style w:type="character" w:styleId="TextoindependienteCar" w:customStyle="1">
    <w:name w:val="Texto independiente Car"/>
    <w:basedOn w:val="DefaultParagraphFont"/>
    <w:link w:val="Textoindependiente"/>
    <w:uiPriority w:val="99"/>
    <w:semiHidden/>
    <w:qFormat/>
    <w:rsid w:val="00ae5d97"/>
    <w:rPr>
      <w:sz w:val="22"/>
      <w:szCs w:val="22"/>
      <w:lang w:eastAsia="en-US"/>
    </w:rPr>
  </w:style>
  <w:style w:type="character" w:styleId="Ttulo2Car" w:customStyle="1">
    <w:name w:val="Título 2 Car"/>
    <w:basedOn w:val="DefaultParagraphFont"/>
    <w:link w:val="Ttulo2"/>
    <w:uiPriority w:val="9"/>
    <w:semiHidden/>
    <w:qFormat/>
    <w:rsid w:val="005e4c74"/>
    <w:rPr>
      <w:rFonts w:ascii="Cambria" w:hAnsi="Cambria" w:eastAsia="Times New Roman" w:cs="Times New Roman"/>
      <w:b/>
      <w:bCs/>
      <w:i/>
      <w:iCs/>
      <w:sz w:val="28"/>
      <w:szCs w:val="28"/>
      <w:lang w:eastAsia="en-US"/>
    </w:rPr>
  </w:style>
  <w:style w:type="character" w:styleId="TextonotapieCar" w:customStyle="1">
    <w:name w:val="Texto nota pie Car"/>
    <w:basedOn w:val="DefaultParagraphFont"/>
    <w:link w:val="Textonotapie"/>
    <w:semiHidden/>
    <w:qFormat/>
    <w:rsid w:val="00475974"/>
    <w:rPr>
      <w:rFonts w:ascii="Courier New" w:hAnsi="Courier New" w:eastAsia="Times New Roman"/>
      <w:lang w:val="en-GB"/>
    </w:rPr>
  </w:style>
  <w:style w:type="character" w:styleId="Footnotereference">
    <w:name w:val="footnote reference"/>
    <w:basedOn w:val="DefaultParagraphFont"/>
    <w:semiHidden/>
    <w:qFormat/>
    <w:rsid w:val="00475974"/>
    <w:rPr>
      <w:vertAlign w:val="superscript"/>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sz w:val="20"/>
    </w:rPr>
  </w:style>
  <w:style w:type="character" w:styleId="ListLabel5">
    <w:name w:val="ListLabel 5"/>
    <w:qFormat/>
    <w:rPr>
      <w:sz w:val="20"/>
    </w:rPr>
  </w:style>
  <w:style w:type="character" w:styleId="ListLabel6">
    <w:name w:val="ListLabel 6"/>
    <w:qFormat/>
    <w:rPr>
      <w:sz w:val="20"/>
    </w:rPr>
  </w:style>
  <w:style w:type="character" w:styleId="ListLabel7">
    <w:name w:val="ListLabel 7"/>
    <w:qFormat/>
    <w:rPr>
      <w:sz w:val="20"/>
    </w:rPr>
  </w:style>
  <w:style w:type="character" w:styleId="ListLabel8">
    <w:name w:val="ListLabel 8"/>
    <w:qFormat/>
    <w:rPr>
      <w:sz w:val="20"/>
    </w:rPr>
  </w:style>
  <w:style w:type="character" w:styleId="ListLabel9">
    <w:name w:val="ListLabel 9"/>
    <w:qFormat/>
    <w:rPr>
      <w:sz w:val="20"/>
    </w:rPr>
  </w:style>
  <w:style w:type="character" w:styleId="ListLabel10">
    <w:name w:val="ListLabel 10"/>
    <w:qFormat/>
    <w:rPr>
      <w:sz w:val="20"/>
    </w:rPr>
  </w:style>
  <w:style w:type="character" w:styleId="ListLabel11">
    <w:name w:val="ListLabel 11"/>
    <w:qFormat/>
    <w:rPr>
      <w:sz w:val="20"/>
    </w:rPr>
  </w:style>
  <w:style w:type="character" w:styleId="ListLabel12">
    <w:name w:val="ListLabel 12"/>
    <w:qFormat/>
    <w:rPr>
      <w:sz w:val="20"/>
    </w:rPr>
  </w:style>
  <w:style w:type="character" w:styleId="ListLabel13">
    <w:name w:val="ListLabel 13"/>
    <w:qFormat/>
    <w:rPr>
      <w:sz w:val="20"/>
    </w:rPr>
  </w:style>
  <w:style w:type="character" w:styleId="ListLabel14">
    <w:name w:val="ListLabel 14"/>
    <w:qFormat/>
    <w:rPr>
      <w:sz w:val="20"/>
    </w:rPr>
  </w:style>
  <w:style w:type="character" w:styleId="ListLabel15">
    <w:name w:val="ListLabel 15"/>
    <w:qFormat/>
    <w:rPr>
      <w:sz w:val="20"/>
    </w:rPr>
  </w:style>
  <w:style w:type="character" w:styleId="ListLabel16">
    <w:name w:val="ListLabel 16"/>
    <w:qFormat/>
    <w:rPr>
      <w:sz w:val="20"/>
    </w:rPr>
  </w:style>
  <w:style w:type="character" w:styleId="ListLabel17">
    <w:name w:val="ListLabel 17"/>
    <w:qFormat/>
    <w:rPr>
      <w:sz w:val="20"/>
    </w:rPr>
  </w:style>
  <w:style w:type="character" w:styleId="ListLabel18">
    <w:name w:val="ListLabel 18"/>
    <w:qFormat/>
    <w:rPr>
      <w:sz w:val="20"/>
    </w:rPr>
  </w:style>
  <w:style w:type="character" w:styleId="ListLabel19">
    <w:name w:val="ListLabel 19"/>
    <w:qFormat/>
    <w:rPr>
      <w:sz w:val="20"/>
    </w:rPr>
  </w:style>
  <w:style w:type="character" w:styleId="ListLabel20">
    <w:name w:val="ListLabel 20"/>
    <w:qFormat/>
    <w:rPr>
      <w:sz w:val="20"/>
    </w:rPr>
  </w:style>
  <w:style w:type="character" w:styleId="ListLabel21">
    <w:name w:val="ListLabel 21"/>
    <w:qFormat/>
    <w:rPr>
      <w:sz w:val="20"/>
    </w:rPr>
  </w:style>
  <w:style w:type="character" w:styleId="ListLabel22">
    <w:name w:val="ListLabel 22"/>
    <w:qFormat/>
    <w:rPr>
      <w:sz w:val="20"/>
    </w:rPr>
  </w:style>
  <w:style w:type="character" w:styleId="ListLabel23">
    <w:name w:val="ListLabel 23"/>
    <w:qFormat/>
    <w:rPr>
      <w:sz w:val="20"/>
    </w:rPr>
  </w:style>
  <w:style w:type="character" w:styleId="ListLabel24">
    <w:name w:val="ListLabel 24"/>
    <w:qFormat/>
    <w:rPr>
      <w:sz w:val="20"/>
    </w:rPr>
  </w:style>
  <w:style w:type="character" w:styleId="ListLabel25">
    <w:name w:val="ListLabel 25"/>
    <w:qFormat/>
    <w:rPr>
      <w:sz w:val="20"/>
    </w:rPr>
  </w:style>
  <w:style w:type="character" w:styleId="ListLabel26">
    <w:name w:val="ListLabel 26"/>
    <w:qFormat/>
    <w:rPr>
      <w:sz w:val="20"/>
    </w:rPr>
  </w:style>
  <w:style w:type="character" w:styleId="ListLabel27">
    <w:name w:val="ListLabel 27"/>
    <w:qFormat/>
    <w:rPr>
      <w:sz w:val="20"/>
    </w:rPr>
  </w:style>
  <w:style w:type="character" w:styleId="ListLabel28">
    <w:name w:val="ListLabel 28"/>
    <w:qFormat/>
    <w:rPr>
      <w:sz w:val="20"/>
    </w:rPr>
  </w:style>
  <w:style w:type="character" w:styleId="ListLabel29">
    <w:name w:val="ListLabel 29"/>
    <w:qFormat/>
    <w:rPr>
      <w:sz w:val="20"/>
    </w:rPr>
  </w:style>
  <w:style w:type="character" w:styleId="ListLabel30">
    <w:name w:val="ListLabel 30"/>
    <w:qFormat/>
    <w:rPr>
      <w:sz w:val="20"/>
    </w:rPr>
  </w:style>
  <w:style w:type="character" w:styleId="ListLabel31">
    <w:name w:val="ListLabel 31"/>
    <w:qFormat/>
    <w:rPr>
      <w:sz w:val="20"/>
    </w:rPr>
  </w:style>
  <w:style w:type="character" w:styleId="ListLabel32">
    <w:name w:val="ListLabel 32"/>
    <w:qFormat/>
    <w:rPr>
      <w:sz w:val="20"/>
    </w:rPr>
  </w:style>
  <w:style w:type="character" w:styleId="ListLabel33">
    <w:name w:val="ListLabel 33"/>
    <w:qFormat/>
    <w:rPr>
      <w:sz w:val="20"/>
    </w:rPr>
  </w:style>
  <w:style w:type="character" w:styleId="ListLabel34">
    <w:name w:val="ListLabel 34"/>
    <w:qFormat/>
    <w:rPr>
      <w:sz w:val="20"/>
    </w:rPr>
  </w:style>
  <w:style w:type="character" w:styleId="ListLabel35">
    <w:name w:val="ListLabel 35"/>
    <w:qFormat/>
    <w:rPr>
      <w:sz w:val="20"/>
    </w:rPr>
  </w:style>
  <w:style w:type="character" w:styleId="ListLabel36">
    <w:name w:val="ListLabel 36"/>
    <w:qFormat/>
    <w:rPr>
      <w:sz w:val="20"/>
    </w:rPr>
  </w:style>
  <w:style w:type="character" w:styleId="ListLabel37">
    <w:name w:val="ListLabel 37"/>
    <w:qFormat/>
    <w:rPr>
      <w:sz w:val="20"/>
    </w:rPr>
  </w:style>
  <w:style w:type="character" w:styleId="ListLabel38">
    <w:name w:val="ListLabel 38"/>
    <w:qFormat/>
    <w:rPr>
      <w:sz w:val="20"/>
    </w:rPr>
  </w:style>
  <w:style w:type="character" w:styleId="ListLabel39">
    <w:name w:val="ListLabel 39"/>
    <w:qFormat/>
    <w:rPr>
      <w:sz w:val="20"/>
    </w:rPr>
  </w:style>
  <w:style w:type="character" w:styleId="ListLabel40">
    <w:name w:val="ListLabel 40"/>
    <w:qFormat/>
    <w:rPr>
      <w:sz w:val="20"/>
    </w:rPr>
  </w:style>
  <w:style w:type="character" w:styleId="ListLabel41">
    <w:name w:val="ListLabel 41"/>
    <w:qFormat/>
    <w:rPr>
      <w:sz w:val="20"/>
    </w:rPr>
  </w:style>
  <w:style w:type="character" w:styleId="ListLabel42">
    <w:name w:val="ListLabel 42"/>
    <w:qFormat/>
    <w:rPr>
      <w:sz w:val="20"/>
    </w:rPr>
  </w:style>
  <w:style w:type="character" w:styleId="ListLabel43">
    <w:name w:val="ListLabel 43"/>
    <w:qFormat/>
    <w:rPr>
      <w:sz w:val="20"/>
    </w:rPr>
  </w:style>
  <w:style w:type="character" w:styleId="ListLabel44">
    <w:name w:val="ListLabel 44"/>
    <w:qFormat/>
    <w:rPr>
      <w:sz w:val="20"/>
    </w:rPr>
  </w:style>
  <w:style w:type="character" w:styleId="ListLabel45">
    <w:name w:val="ListLabel 45"/>
    <w:qFormat/>
    <w:rPr>
      <w:sz w:val="20"/>
    </w:rPr>
  </w:style>
  <w:style w:type="character" w:styleId="ListLabel46">
    <w:name w:val="ListLabel 46"/>
    <w:qFormat/>
    <w:rPr>
      <w:sz w:val="20"/>
    </w:rPr>
  </w:style>
  <w:style w:type="character" w:styleId="ListLabel47">
    <w:name w:val="ListLabel 47"/>
    <w:qFormat/>
    <w:rPr>
      <w:sz w:val="20"/>
    </w:rPr>
  </w:style>
  <w:style w:type="character" w:styleId="ListLabel48">
    <w:name w:val="ListLabel 48"/>
    <w:qFormat/>
    <w:rPr>
      <w:sz w:val="20"/>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Courier New"/>
    </w:rPr>
  </w:style>
  <w:style w:type="character" w:styleId="ListLabel53">
    <w:name w:val="ListLabel 53"/>
    <w:qFormat/>
    <w:rPr>
      <w:rFonts w:cs="Courier New"/>
    </w:rPr>
  </w:style>
  <w:style w:type="character" w:styleId="ListLabel54">
    <w:name w:val="ListLabel 54"/>
    <w:qFormat/>
    <w:rPr>
      <w:rFonts w:cs="Courier New"/>
    </w:rPr>
  </w:style>
  <w:style w:type="paragraph" w:styleId="Heading">
    <w:name w:val="Heading"/>
    <w:basedOn w:val="Normal"/>
    <w:next w:val="TextBody"/>
    <w:qFormat/>
    <w:pPr>
      <w:keepNext/>
      <w:spacing w:before="240" w:after="120"/>
    </w:pPr>
    <w:rPr>
      <w:rFonts w:ascii="Liberation Sans" w:hAnsi="Liberation Sans" w:eastAsia="WenQuanYi Micro Hei" w:cs="Lohit Devanagari"/>
      <w:sz w:val="28"/>
      <w:szCs w:val="28"/>
    </w:rPr>
  </w:style>
  <w:style w:type="paragraph" w:styleId="TextBody">
    <w:name w:val="Body Text"/>
    <w:basedOn w:val="Normal"/>
    <w:link w:val="TextoindependienteCar"/>
    <w:uiPriority w:val="99"/>
    <w:semiHidden/>
    <w:unhideWhenUsed/>
    <w:rsid w:val="00ae5d97"/>
    <w:pPr>
      <w:spacing w:before="0" w:after="12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Header">
    <w:name w:val="Header"/>
    <w:basedOn w:val="Normal"/>
    <w:link w:val="EncabezadoCar"/>
    <w:uiPriority w:val="99"/>
    <w:unhideWhenUsed/>
    <w:rsid w:val="002d1649"/>
    <w:pPr>
      <w:tabs>
        <w:tab w:val="center" w:pos="4252" w:leader="none"/>
        <w:tab w:val="right" w:pos="8504" w:leader="none"/>
      </w:tabs>
    </w:pPr>
    <w:rPr/>
  </w:style>
  <w:style w:type="paragraph" w:styleId="Footer">
    <w:name w:val="Footer"/>
    <w:basedOn w:val="Normal"/>
    <w:link w:val="PiedepginaCar"/>
    <w:uiPriority w:val="99"/>
    <w:unhideWhenUsed/>
    <w:rsid w:val="002d1649"/>
    <w:pPr>
      <w:tabs>
        <w:tab w:val="center" w:pos="4252" w:leader="none"/>
        <w:tab w:val="right" w:pos="8504" w:leader="none"/>
      </w:tabs>
    </w:pPr>
    <w:rPr/>
  </w:style>
  <w:style w:type="paragraph" w:styleId="Titledocfirst" w:customStyle="1">
    <w:name w:val="title-doc-first"/>
    <w:basedOn w:val="Normal"/>
    <w:qFormat/>
    <w:rsid w:val="00253b71"/>
    <w:pPr>
      <w:spacing w:lineRule="auto" w:line="240" w:beforeAutospacing="1" w:afterAutospacing="1"/>
    </w:pPr>
    <w:rPr>
      <w:rFonts w:ascii="Times New Roman" w:hAnsi="Times New Roman" w:eastAsia="Times New Roman"/>
      <w:sz w:val="24"/>
      <w:szCs w:val="24"/>
      <w:lang w:eastAsia="es-ES"/>
    </w:rPr>
  </w:style>
  <w:style w:type="paragraph" w:styleId="Titledoclast" w:customStyle="1">
    <w:name w:val="title-doc-last"/>
    <w:basedOn w:val="Normal"/>
    <w:qFormat/>
    <w:rsid w:val="00253b71"/>
    <w:pPr>
      <w:spacing w:lineRule="auto" w:line="240" w:beforeAutospacing="1" w:afterAutospacing="1"/>
    </w:pPr>
    <w:rPr>
      <w:rFonts w:ascii="Times New Roman" w:hAnsi="Times New Roman" w:eastAsia="Times New Roman"/>
      <w:sz w:val="24"/>
      <w:szCs w:val="24"/>
      <w:lang w:eastAsia="es-ES"/>
    </w:rPr>
  </w:style>
  <w:style w:type="paragraph" w:styleId="NormalWeb">
    <w:name w:val="Normal (Web)"/>
    <w:basedOn w:val="Normal"/>
    <w:uiPriority w:val="99"/>
    <w:semiHidden/>
    <w:unhideWhenUsed/>
    <w:qFormat/>
    <w:rsid w:val="009e1e38"/>
    <w:pPr>
      <w:spacing w:lineRule="auto" w:line="240" w:beforeAutospacing="1" w:afterAutospacing="1"/>
    </w:pPr>
    <w:rPr>
      <w:rFonts w:ascii="Times New Roman" w:hAnsi="Times New Roman" w:eastAsia="Times New Roman"/>
      <w:sz w:val="24"/>
      <w:szCs w:val="24"/>
      <w:lang w:eastAsia="es-ES"/>
    </w:rPr>
  </w:style>
  <w:style w:type="paragraph" w:styleId="A" w:customStyle="1">
    <w:name w:val="a"/>
    <w:basedOn w:val="Normal"/>
    <w:qFormat/>
    <w:rsid w:val="007b6b0d"/>
    <w:pPr>
      <w:spacing w:lineRule="auto" w:line="240" w:beforeAutospacing="1" w:afterAutospacing="1"/>
    </w:pPr>
    <w:rPr>
      <w:rFonts w:ascii="Times New Roman" w:hAnsi="Times New Roman" w:eastAsia="Times New Roman"/>
      <w:sz w:val="24"/>
      <w:szCs w:val="24"/>
      <w:lang w:eastAsia="es-ES"/>
    </w:rPr>
  </w:style>
  <w:style w:type="paragraph" w:styleId="BodyTextIndent3">
    <w:name w:val="Body Text Indent 3"/>
    <w:basedOn w:val="Normal"/>
    <w:link w:val="Sangra3detindependienteCar"/>
    <w:qFormat/>
    <w:rsid w:val="005b3342"/>
    <w:pPr>
      <w:spacing w:lineRule="auto" w:line="240" w:before="0" w:after="0"/>
      <w:ind w:left="360" w:hanging="0"/>
      <w:jc w:val="both"/>
    </w:pPr>
    <w:rPr>
      <w:rFonts w:ascii="Times New Roman" w:hAnsi="Times New Roman" w:eastAsia="Times New Roman"/>
      <w:color w:val="000000"/>
      <w:sz w:val="24"/>
      <w:szCs w:val="20"/>
      <w:lang w:eastAsia="es-ES"/>
    </w:rPr>
  </w:style>
  <w:style w:type="paragraph" w:styleId="Footnotetext">
    <w:name w:val="footnote text"/>
    <w:basedOn w:val="Normal"/>
    <w:link w:val="TextonotapieCar"/>
    <w:semiHidden/>
    <w:qFormat/>
    <w:rsid w:val="00475974"/>
    <w:pPr>
      <w:widowControl w:val="false"/>
      <w:tabs>
        <w:tab w:val="left" w:pos="-720" w:leader="none"/>
      </w:tabs>
      <w:suppressAutoHyphens w:val="true"/>
      <w:spacing w:lineRule="auto" w:line="240" w:before="0" w:after="0"/>
      <w:jc w:val="both"/>
    </w:pPr>
    <w:rPr>
      <w:rFonts w:ascii="Courier New" w:hAnsi="Courier New" w:eastAsia="Times New Roman"/>
      <w:sz w:val="20"/>
      <w:szCs w:val="20"/>
      <w:lang w:val="en-GB" w:eastAsia="es-ES"/>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styleId="Tablaconcuadrcula">
    <w:name w:val="Table Grid"/>
    <w:basedOn w:val="Tablanormal"/>
    <w:uiPriority w:val="59"/>
    <w:rsid w:val="0030077d"/>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79B168-BA17-C545-9178-8F3BF625DC6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LibreOffice/5.1.6.2$Linux_X86_64 LibreOffice_project/10m0$Build-2</Application>
  <Pages>6</Pages>
  <Words>3134</Words>
  <CharactersWithSpaces>17239</CharactersWithSpaces>
  <Paragraphs>40</Paragraphs>
  <Company>JCYL</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2019-01-25T18:28:00Z</dcterms:created>
  <dc:creator>Ramon Ortega Dominguez</dc:creator>
  <dc:description/>
  <dc:language>es-ES</dc:language>
  <cp:lastModifiedBy>Usuario invitado</cp:lastModifiedBy>
  <cp:lastPrinted>2016-06-13T18:03:00Z</cp:lastPrinted>
  <dcterms:modified xsi:type="dcterms:W3CDTF">2019-01-25T18:28:00Z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JCYL</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